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E6" w:rsidRPr="009D1368" w:rsidRDefault="00985FE6" w:rsidP="009D1368">
      <w:pPr>
        <w:pStyle w:val="PlainText"/>
        <w:spacing w:after="200" w:line="259" w:lineRule="auto"/>
        <w:rPr>
          <w:rFonts w:ascii="Verdana" w:hAnsi="Verdana"/>
          <w:b/>
          <w:sz w:val="22"/>
          <w:szCs w:val="22"/>
        </w:rPr>
      </w:pPr>
      <w:r w:rsidRPr="009D1368">
        <w:rPr>
          <w:rFonts w:ascii="Verdana" w:hAnsi="Verdana"/>
          <w:b/>
          <w:sz w:val="22"/>
          <w:szCs w:val="22"/>
        </w:rPr>
        <w:t xml:space="preserve">Kinders 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Elke kind het die reg – 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op </w:t>
      </w:r>
      <w:r w:rsidR="009D1368">
        <w:rPr>
          <w:rFonts w:ascii="Verdana" w:hAnsi="Verdana"/>
          <w:sz w:val="22"/>
          <w:szCs w:val="22"/>
        </w:rPr>
        <w:t>’</w:t>
      </w:r>
      <w:r w:rsidRPr="00827AA0">
        <w:rPr>
          <w:rFonts w:ascii="Verdana" w:hAnsi="Verdana"/>
          <w:sz w:val="22"/>
          <w:szCs w:val="22"/>
        </w:rPr>
        <w:t>n naam en nasionaliteit vanaf geboorte;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op gesinsorg of ouerlike sorg,</w:t>
      </w:r>
      <w:bookmarkStart w:id="0" w:name="_GoBack"/>
      <w:bookmarkEnd w:id="0"/>
      <w:r w:rsidRPr="00827AA0">
        <w:rPr>
          <w:rFonts w:ascii="Verdana" w:hAnsi="Verdana"/>
          <w:sz w:val="22"/>
          <w:szCs w:val="22"/>
        </w:rPr>
        <w:t xml:space="preserve"> of op gepaste alternatiewe sorg wanneer die kind uit die gesinsomgewing weggeneem word;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op basiese voeding, skuiling, basiese gesondheidsorgdienste en maatskaplike dienste;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om teen mishandeling, verwaarlosing, misbruik of vernedering beskerm te word;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om teen uitbuitende arbeidspraktyke beskerm te word;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om nie verplig of toegelaat te word om werk te verr</w:t>
      </w:r>
      <w:r>
        <w:rPr>
          <w:rFonts w:ascii="Verdana" w:hAnsi="Verdana"/>
          <w:sz w:val="22"/>
          <w:szCs w:val="22"/>
        </w:rPr>
        <w:t xml:space="preserve">ig of dienste te lewer nie wat 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onvanpas is vir </w:t>
      </w:r>
      <w:r w:rsidR="009D1368">
        <w:rPr>
          <w:rFonts w:ascii="Verdana" w:hAnsi="Verdana"/>
          <w:sz w:val="22"/>
          <w:szCs w:val="22"/>
        </w:rPr>
        <w:t>’</w:t>
      </w:r>
      <w:r w:rsidRPr="00827AA0">
        <w:rPr>
          <w:rFonts w:ascii="Verdana" w:hAnsi="Verdana"/>
          <w:sz w:val="22"/>
          <w:szCs w:val="22"/>
        </w:rPr>
        <w:t>n persoon van daardie kind se ouderdom; of</w:t>
      </w:r>
    </w:p>
    <w:p w:rsidR="00985FE6" w:rsidRPr="00827AA0" w:rsidRDefault="009D1368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’</w:t>
      </w:r>
      <w:r w:rsidR="00985FE6" w:rsidRPr="00827AA0">
        <w:rPr>
          <w:rFonts w:ascii="Verdana" w:hAnsi="Verdana"/>
          <w:sz w:val="22"/>
          <w:szCs w:val="22"/>
        </w:rPr>
        <w:t>n risiko vir die kind se welsyn, opvoeding, liggaamlike of geestelike gesondheid of geestelike, morele of sosiale ontwikkeling inhou;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om nie aangehou te word nie, behalwe as laaste uitweg, in watter geval, benewens die regte wat </w:t>
      </w:r>
      <w:r w:rsidR="009D1368">
        <w:rPr>
          <w:rFonts w:ascii="Verdana" w:hAnsi="Verdana"/>
          <w:sz w:val="22"/>
          <w:szCs w:val="22"/>
        </w:rPr>
        <w:t>’</w:t>
      </w:r>
      <w:r w:rsidRPr="00827AA0">
        <w:rPr>
          <w:rFonts w:ascii="Verdana" w:hAnsi="Verdana"/>
          <w:sz w:val="22"/>
          <w:szCs w:val="22"/>
        </w:rPr>
        <w:t xml:space="preserve">n kind kragtens artikels 12 en 35 geniet, die kind slegs vir die kortste gepaste tydperk aangehou mag word, en die reg het om – 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afsonderlik van aangehoudendes bo die ouderdom van 18 jaar aangehou te word; en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op </w:t>
      </w:r>
      <w:r w:rsidR="009D1368">
        <w:rPr>
          <w:rFonts w:ascii="Verdana" w:hAnsi="Verdana"/>
          <w:sz w:val="22"/>
          <w:szCs w:val="22"/>
        </w:rPr>
        <w:t>’</w:t>
      </w:r>
      <w:r w:rsidRPr="00827AA0">
        <w:rPr>
          <w:rFonts w:ascii="Verdana" w:hAnsi="Verdana"/>
          <w:sz w:val="22"/>
          <w:szCs w:val="22"/>
        </w:rPr>
        <w:t>n wyse behandel te word, en in omstandighede aangehou te word, wat met die kind se ouderdom rekening hou;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om, in siviele verrigtinge wat die kind raak, deur die staat op staatskoste van </w:t>
      </w:r>
      <w:r w:rsidR="009D1368">
        <w:rPr>
          <w:rFonts w:ascii="Verdana" w:hAnsi="Verdana"/>
          <w:sz w:val="22"/>
          <w:szCs w:val="22"/>
        </w:rPr>
        <w:t>’</w:t>
      </w:r>
      <w:r w:rsidRPr="00827AA0">
        <w:rPr>
          <w:rFonts w:ascii="Verdana" w:hAnsi="Verdana"/>
          <w:sz w:val="22"/>
          <w:szCs w:val="22"/>
        </w:rPr>
        <w:t>n regspraktisyn voorsien te word indien dit andersins tot wesenlike onreg sou lei; en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>om nie regstreeks in gewapende stryd gebruik te word nie, en in tye van gewapende stryd beskerm te word.</w:t>
      </w:r>
    </w:p>
    <w:p w:rsidR="00985FE6" w:rsidRPr="00827AA0" w:rsidRDefault="009D1368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’</w:t>
      </w:r>
      <w:r w:rsidR="00985FE6" w:rsidRPr="00827AA0">
        <w:rPr>
          <w:rFonts w:ascii="Verdana" w:hAnsi="Verdana"/>
          <w:sz w:val="22"/>
          <w:szCs w:val="22"/>
        </w:rPr>
        <w:t>n Kind se beste belang is van deurslaggewende belang in elke aangeleentheid wat die kind raak.</w:t>
      </w:r>
    </w:p>
    <w:p w:rsidR="00985FE6" w:rsidRPr="00827AA0" w:rsidRDefault="00985FE6" w:rsidP="009D1368">
      <w:pPr>
        <w:pStyle w:val="PlainText"/>
        <w:spacing w:after="60" w:line="259" w:lineRule="auto"/>
        <w:rPr>
          <w:rFonts w:ascii="Verdana" w:hAnsi="Verdana"/>
          <w:sz w:val="22"/>
          <w:szCs w:val="22"/>
        </w:rPr>
      </w:pPr>
      <w:r w:rsidRPr="00827AA0">
        <w:rPr>
          <w:rFonts w:ascii="Verdana" w:hAnsi="Verdana"/>
          <w:sz w:val="22"/>
          <w:szCs w:val="22"/>
        </w:rPr>
        <w:t xml:space="preserve">In hierdie artikel beteken </w:t>
      </w:r>
      <w:r w:rsidR="009D1368">
        <w:rPr>
          <w:rFonts w:ascii="Verdana" w:hAnsi="Verdana"/>
          <w:sz w:val="22"/>
          <w:szCs w:val="22"/>
        </w:rPr>
        <w:t>‘</w:t>
      </w:r>
      <w:r w:rsidRPr="00827AA0">
        <w:rPr>
          <w:rFonts w:ascii="Verdana" w:hAnsi="Verdana"/>
          <w:sz w:val="22"/>
          <w:szCs w:val="22"/>
        </w:rPr>
        <w:t>kind</w:t>
      </w:r>
      <w:r w:rsidR="009D1368">
        <w:rPr>
          <w:rFonts w:ascii="Verdana" w:hAnsi="Verdana"/>
          <w:sz w:val="22"/>
          <w:szCs w:val="22"/>
        </w:rPr>
        <w:t>’</w:t>
      </w:r>
      <w:r w:rsidRPr="00827AA0">
        <w:rPr>
          <w:rFonts w:ascii="Verdana" w:hAnsi="Verdana"/>
          <w:sz w:val="22"/>
          <w:szCs w:val="22"/>
        </w:rPr>
        <w:t xml:space="preserve"> iemand onder die ouderdom van 18 jaar.</w:t>
      </w:r>
    </w:p>
    <w:p w:rsidR="00985FE6" w:rsidRDefault="00985FE6" w:rsidP="009D1368">
      <w:pPr>
        <w:spacing w:before="240" w:after="240" w:line="259" w:lineRule="auto"/>
        <w:rPr>
          <w:rFonts w:ascii="Verdana" w:hAnsi="Verdana"/>
        </w:rPr>
      </w:pPr>
      <w:r w:rsidRPr="009D1368">
        <w:rPr>
          <w:rFonts w:ascii="Verdana" w:hAnsi="Verdana"/>
          <w:i/>
        </w:rPr>
        <w:t>Uit:</w:t>
      </w:r>
      <w:r w:rsidRPr="00827AA0">
        <w:rPr>
          <w:rFonts w:ascii="Verdana" w:hAnsi="Verdana"/>
        </w:rPr>
        <w:t xml:space="preserve"> Die Grondwet van die Republiek van Suid-Afrika, 1996, Hoofstuk 2: Handves</w:t>
      </w:r>
      <w:r w:rsidR="009D1368">
        <w:rPr>
          <w:rFonts w:ascii="Verdana" w:hAnsi="Verdana"/>
        </w:rPr>
        <w:t> </w:t>
      </w:r>
      <w:r w:rsidRPr="00827AA0">
        <w:rPr>
          <w:rFonts w:ascii="Verdana" w:hAnsi="Verdana"/>
        </w:rPr>
        <w:t>van</w:t>
      </w:r>
      <w:r w:rsidR="009D1368">
        <w:rPr>
          <w:rFonts w:ascii="Verdana" w:hAnsi="Verdana"/>
        </w:rPr>
        <w:t> </w:t>
      </w:r>
      <w:r w:rsidRPr="00827AA0">
        <w:rPr>
          <w:rFonts w:ascii="Verdana" w:hAnsi="Verdana"/>
        </w:rPr>
        <w:t>Regte.</w:t>
      </w:r>
    </w:p>
    <w:p w:rsidR="00874F45" w:rsidRDefault="00874F45" w:rsidP="009D1368">
      <w:pPr>
        <w:spacing w:after="60" w:line="259" w:lineRule="auto"/>
      </w:pPr>
    </w:p>
    <w:sectPr w:rsidR="00874F45" w:rsidSect="006113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35225"/>
    <w:multiLevelType w:val="multilevel"/>
    <w:tmpl w:val="820A52C8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1928"/>
        </w:tabs>
        <w:ind w:left="1928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5FE6"/>
    <w:rsid w:val="0010243C"/>
    <w:rsid w:val="00267820"/>
    <w:rsid w:val="00287F9E"/>
    <w:rsid w:val="003A6562"/>
    <w:rsid w:val="00490253"/>
    <w:rsid w:val="00611320"/>
    <w:rsid w:val="00874F45"/>
    <w:rsid w:val="00985FE6"/>
    <w:rsid w:val="009D1368"/>
    <w:rsid w:val="009D5A92"/>
    <w:rsid w:val="00A27AD2"/>
    <w:rsid w:val="00A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C9F7AB"/>
  <w15:docId w15:val="{A8EB1C1A-C016-4AB8-A787-F7E5B28E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85FE6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85FE6"/>
    <w:rPr>
      <w:rFonts w:ascii="Courier New" w:hAnsi="Courier New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Kinders</vt:lpstr>
    </vt:vector>
  </TitlesOfParts>
  <Company>Hewlett-Packard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Kinders</dc:title>
  <dc:creator>User</dc:creator>
  <cp:lastModifiedBy>Sandra Jacobs</cp:lastModifiedBy>
  <cp:revision>3</cp:revision>
  <dcterms:created xsi:type="dcterms:W3CDTF">2017-07-22T14:33:00Z</dcterms:created>
  <dcterms:modified xsi:type="dcterms:W3CDTF">2017-07-22T14:55:00Z</dcterms:modified>
</cp:coreProperties>
</file>